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7A" w:rsidRPr="00F9557A" w:rsidRDefault="00F9557A" w:rsidP="00245A8B">
      <w:pPr>
        <w:pBdr>
          <w:top w:val="single" w:sz="4" w:space="1" w:color="auto"/>
          <w:left w:val="single" w:sz="4" w:space="4" w:color="auto"/>
          <w:bottom w:val="single" w:sz="4" w:space="1" w:color="auto"/>
          <w:right w:val="single" w:sz="4" w:space="4" w:color="auto"/>
        </w:pBdr>
        <w:shd w:val="clear" w:color="auto" w:fill="FFCC00"/>
        <w:spacing w:after="0" w:line="240" w:lineRule="auto"/>
        <w:jc w:val="center"/>
        <w:rPr>
          <w:rFonts w:ascii="Times New Roman" w:eastAsia="Times New Roman" w:hAnsi="Times New Roman" w:cs="Times New Roman"/>
          <w:b/>
          <w:bCs/>
          <w:sz w:val="32"/>
          <w:szCs w:val="32"/>
        </w:rPr>
      </w:pPr>
      <w:r w:rsidRPr="00F9557A">
        <w:rPr>
          <w:rFonts w:ascii="Times New Roman" w:eastAsia="Times New Roman" w:hAnsi="Times New Roman" w:cs="Times New Roman"/>
          <w:b/>
          <w:bCs/>
          <w:sz w:val="32"/>
          <w:szCs w:val="32"/>
        </w:rPr>
        <w:t xml:space="preserve">Blackstone </w:t>
      </w:r>
      <w:smartTag w:uri="urn:schemas-microsoft-com:office:smarttags" w:element="PlaceType">
        <w:r w:rsidRPr="00F9557A">
          <w:rPr>
            <w:rFonts w:ascii="Times New Roman" w:eastAsia="Times New Roman" w:hAnsi="Times New Roman" w:cs="Times New Roman"/>
            <w:b/>
            <w:bCs/>
            <w:sz w:val="32"/>
            <w:szCs w:val="32"/>
          </w:rPr>
          <w:t>Valley</w:t>
        </w:r>
      </w:smartTag>
      <w:r w:rsidRPr="00F9557A">
        <w:rPr>
          <w:rFonts w:ascii="Times New Roman" w:eastAsia="Times New Roman" w:hAnsi="Times New Roman" w:cs="Times New Roman"/>
          <w:b/>
          <w:bCs/>
          <w:sz w:val="32"/>
          <w:szCs w:val="32"/>
        </w:rPr>
        <w:t xml:space="preserve"> Regional Vocational </w:t>
      </w:r>
      <w:smartTag w:uri="urn:schemas-microsoft-com:office:smarttags" w:element="place">
        <w:smartTag w:uri="urn:schemas-microsoft-com:office:smarttags" w:element="PlaceName">
          <w:r w:rsidRPr="00F9557A">
            <w:rPr>
              <w:rFonts w:ascii="Times New Roman" w:eastAsia="Times New Roman" w:hAnsi="Times New Roman" w:cs="Times New Roman"/>
              <w:b/>
              <w:bCs/>
              <w:sz w:val="32"/>
              <w:szCs w:val="32"/>
            </w:rPr>
            <w:t>Technical</w:t>
          </w:r>
        </w:smartTag>
        <w:r w:rsidRPr="00F9557A">
          <w:rPr>
            <w:rFonts w:ascii="Times New Roman" w:eastAsia="Times New Roman" w:hAnsi="Times New Roman" w:cs="Times New Roman"/>
            <w:b/>
            <w:bCs/>
            <w:sz w:val="32"/>
            <w:szCs w:val="32"/>
          </w:rPr>
          <w:t xml:space="preserve"> </w:t>
        </w:r>
        <w:smartTag w:uri="urn:schemas-microsoft-com:office:smarttags" w:element="PlaceType">
          <w:r w:rsidRPr="00F9557A">
            <w:rPr>
              <w:rFonts w:ascii="Times New Roman" w:eastAsia="Times New Roman" w:hAnsi="Times New Roman" w:cs="Times New Roman"/>
              <w:b/>
              <w:bCs/>
              <w:sz w:val="32"/>
              <w:szCs w:val="32"/>
            </w:rPr>
            <w:t>High School</w:t>
          </w:r>
        </w:smartTag>
      </w:smartTag>
    </w:p>
    <w:p w:rsidR="00F9557A" w:rsidRPr="00F9557A" w:rsidRDefault="00F9557A" w:rsidP="00245A8B">
      <w:pPr>
        <w:keepNext/>
        <w:pBdr>
          <w:top w:val="single" w:sz="4" w:space="1" w:color="auto"/>
          <w:left w:val="single" w:sz="4" w:space="4" w:color="auto"/>
          <w:bottom w:val="single" w:sz="4" w:space="1" w:color="auto"/>
          <w:right w:val="single" w:sz="4" w:space="4" w:color="auto"/>
        </w:pBdr>
        <w:shd w:val="clear" w:color="auto" w:fill="FFCC00"/>
        <w:tabs>
          <w:tab w:val="left" w:pos="3560"/>
        </w:tabs>
        <w:spacing w:after="0" w:line="240" w:lineRule="auto"/>
        <w:jc w:val="center"/>
        <w:outlineLvl w:val="0"/>
        <w:rPr>
          <w:rFonts w:ascii="Times New Roman" w:eastAsia="Times New Roman" w:hAnsi="Times New Roman" w:cs="Times New Roman"/>
          <w:b/>
          <w:bCs/>
          <w:sz w:val="32"/>
          <w:szCs w:val="32"/>
        </w:rPr>
      </w:pPr>
      <w:r w:rsidRPr="00F9557A">
        <w:rPr>
          <w:rFonts w:ascii="Times New Roman" w:eastAsia="Times New Roman" w:hAnsi="Times New Roman" w:cs="Times New Roman"/>
          <w:b/>
          <w:bCs/>
          <w:sz w:val="32"/>
          <w:szCs w:val="32"/>
        </w:rPr>
        <w:t xml:space="preserve">65 Pleasant Street, </w:t>
      </w:r>
      <w:smartTag w:uri="urn:schemas-microsoft-com:office:smarttags" w:element="place">
        <w:smartTag w:uri="urn:schemas-microsoft-com:office:smarttags" w:element="City">
          <w:r w:rsidRPr="00F9557A">
            <w:rPr>
              <w:rFonts w:ascii="Times New Roman" w:eastAsia="Times New Roman" w:hAnsi="Times New Roman" w:cs="Times New Roman"/>
              <w:b/>
              <w:bCs/>
              <w:sz w:val="32"/>
              <w:szCs w:val="32"/>
            </w:rPr>
            <w:t>Upton</w:t>
          </w:r>
        </w:smartTag>
        <w:r w:rsidRPr="00F9557A">
          <w:rPr>
            <w:rFonts w:ascii="Times New Roman" w:eastAsia="Times New Roman" w:hAnsi="Times New Roman" w:cs="Times New Roman"/>
            <w:b/>
            <w:bCs/>
            <w:sz w:val="32"/>
            <w:szCs w:val="32"/>
          </w:rPr>
          <w:t xml:space="preserve">, </w:t>
        </w:r>
        <w:smartTag w:uri="urn:schemas-microsoft-com:office:smarttags" w:element="State">
          <w:r w:rsidRPr="00F9557A">
            <w:rPr>
              <w:rFonts w:ascii="Times New Roman" w:eastAsia="Times New Roman" w:hAnsi="Times New Roman" w:cs="Times New Roman"/>
              <w:b/>
              <w:bCs/>
              <w:sz w:val="32"/>
              <w:szCs w:val="32"/>
            </w:rPr>
            <w:t>MA</w:t>
          </w:r>
        </w:smartTag>
        <w:r w:rsidRPr="00F9557A">
          <w:rPr>
            <w:rFonts w:ascii="Times New Roman" w:eastAsia="Times New Roman" w:hAnsi="Times New Roman" w:cs="Times New Roman"/>
            <w:b/>
            <w:bCs/>
            <w:sz w:val="32"/>
            <w:szCs w:val="32"/>
          </w:rPr>
          <w:t xml:space="preserve"> </w:t>
        </w:r>
        <w:smartTag w:uri="urn:schemas-microsoft-com:office:smarttags" w:element="PostalCode">
          <w:r w:rsidRPr="00F9557A">
            <w:rPr>
              <w:rFonts w:ascii="Times New Roman" w:eastAsia="Times New Roman" w:hAnsi="Times New Roman" w:cs="Times New Roman"/>
              <w:b/>
              <w:bCs/>
              <w:sz w:val="32"/>
              <w:szCs w:val="32"/>
            </w:rPr>
            <w:t>01568</w:t>
          </w:r>
        </w:smartTag>
      </w:smartTag>
    </w:p>
    <w:p w:rsidR="00F9557A" w:rsidRPr="00F9557A" w:rsidRDefault="00F9557A" w:rsidP="00245A8B">
      <w:pPr>
        <w:pBdr>
          <w:top w:val="single" w:sz="4" w:space="1" w:color="auto"/>
          <w:left w:val="single" w:sz="4" w:space="4" w:color="auto"/>
          <w:bottom w:val="single" w:sz="4" w:space="1" w:color="auto"/>
          <w:right w:val="single" w:sz="4" w:space="4" w:color="auto"/>
        </w:pBdr>
        <w:shd w:val="clear" w:color="auto" w:fill="FFCC00"/>
        <w:spacing w:after="0" w:line="240" w:lineRule="auto"/>
        <w:jc w:val="center"/>
        <w:rPr>
          <w:rFonts w:ascii="Times New Roman" w:eastAsia="Times New Roman" w:hAnsi="Times New Roman" w:cs="Times New Roman"/>
          <w:b/>
          <w:bCs/>
          <w:sz w:val="30"/>
          <w:szCs w:val="15"/>
        </w:rPr>
      </w:pPr>
      <w:r w:rsidRPr="00F9557A">
        <w:rPr>
          <w:rFonts w:ascii="Times New Roman" w:eastAsia="Times New Roman" w:hAnsi="Times New Roman" w:cs="Times New Roman"/>
          <w:b/>
          <w:bCs/>
          <w:sz w:val="30"/>
          <w:szCs w:val="15"/>
        </w:rPr>
        <w:t>School Counseling Program</w:t>
      </w:r>
    </w:p>
    <w:p w:rsidR="00F9557A" w:rsidRPr="00F9557A" w:rsidRDefault="00F9557A" w:rsidP="00F9557A">
      <w:pPr>
        <w:shd w:val="clear" w:color="auto" w:fill="FFFFFF"/>
        <w:spacing w:after="0" w:line="240" w:lineRule="auto"/>
        <w:jc w:val="center"/>
        <w:rPr>
          <w:rFonts w:ascii="Times New Roman" w:eastAsia="Times New Roman" w:hAnsi="Times New Roman" w:cs="Times New Roman"/>
          <w:b/>
          <w:bCs/>
          <w:color w:val="666699"/>
          <w:sz w:val="32"/>
          <w:szCs w:val="24"/>
        </w:rPr>
      </w:pPr>
    </w:p>
    <w:p w:rsidR="00F9557A" w:rsidRPr="00F9557A" w:rsidRDefault="00F9557A" w:rsidP="00F9557A">
      <w:pPr>
        <w:spacing w:after="0" w:line="240" w:lineRule="auto"/>
        <w:ind w:left="-748"/>
        <w:jc w:val="center"/>
        <w:rPr>
          <w:rFonts w:ascii="Arial" w:eastAsia="Times New Roman" w:hAnsi="Arial" w:cs="Arial"/>
          <w:sz w:val="28"/>
          <w:szCs w:val="28"/>
        </w:rPr>
      </w:pPr>
      <w:r w:rsidRPr="00F9557A">
        <w:rPr>
          <w:rFonts w:ascii="Arial" w:eastAsia="Times New Roman" w:hAnsi="Arial" w:cs="Arial"/>
          <w:sz w:val="20"/>
          <w:szCs w:val="20"/>
        </w:rPr>
        <w:t xml:space="preserve">  </w:t>
      </w:r>
      <w:smartTag w:uri="urn:schemas-microsoft-com:office:smarttags" w:element="State">
        <w:smartTag w:uri="urn:schemas-microsoft-com:office:smarttags" w:element="place">
          <w:r w:rsidRPr="00F9557A">
            <w:rPr>
              <w:rFonts w:ascii="Arial" w:eastAsia="Times New Roman" w:hAnsi="Arial" w:cs="Arial"/>
              <w:sz w:val="28"/>
              <w:szCs w:val="28"/>
            </w:rPr>
            <w:t>Massachusetts</w:t>
          </w:r>
        </w:smartTag>
      </w:smartTag>
      <w:r w:rsidRPr="00F9557A">
        <w:rPr>
          <w:rFonts w:ascii="Arial" w:eastAsia="Times New Roman" w:hAnsi="Arial" w:cs="Arial"/>
          <w:sz w:val="28"/>
          <w:szCs w:val="28"/>
        </w:rPr>
        <w:t xml:space="preserve"> Accountability Report Card - 2005-2006</w:t>
      </w:r>
    </w:p>
    <w:p w:rsidR="00F9557A" w:rsidRPr="00F9557A" w:rsidRDefault="00F9557A" w:rsidP="00F9557A">
      <w:pPr>
        <w:spacing w:after="0" w:line="240" w:lineRule="auto"/>
        <w:ind w:left="-748"/>
        <w:jc w:val="center"/>
        <w:rPr>
          <w:rFonts w:ascii="Arial" w:eastAsia="Times New Roman" w:hAnsi="Arial" w:cs="Arial"/>
          <w:i/>
          <w:sz w:val="18"/>
          <w:szCs w:val="18"/>
        </w:rPr>
      </w:pPr>
      <w:r w:rsidRPr="00F9557A">
        <w:rPr>
          <w:rFonts w:ascii="Arial" w:eastAsia="Times New Roman" w:hAnsi="Arial" w:cs="Arial"/>
          <w:i/>
          <w:sz w:val="18"/>
          <w:szCs w:val="18"/>
        </w:rPr>
        <w:t>A Continuous Improvement Document for School Counseling Program Outcomes sponsored by MASCA</w:t>
      </w:r>
    </w:p>
    <w:p w:rsidR="00F9557A" w:rsidRPr="00F9557A" w:rsidRDefault="00F9557A" w:rsidP="00F9557A">
      <w:pPr>
        <w:spacing w:after="0" w:line="240" w:lineRule="auto"/>
        <w:jc w:val="center"/>
        <w:rPr>
          <w:rFonts w:ascii="Times New Roman" w:eastAsia="Times New Roman" w:hAnsi="Times New Roman" w:cs="Times New Roman"/>
          <w:b/>
          <w:bCs/>
          <w:color w:val="666699"/>
          <w:sz w:val="32"/>
          <w:szCs w:val="24"/>
        </w:rPr>
      </w:pPr>
    </w:p>
    <w:p w:rsidR="00F9557A" w:rsidRPr="00F9557A" w:rsidRDefault="00F9557A" w:rsidP="00F9557A">
      <w:pPr>
        <w:spacing w:after="0" w:line="240" w:lineRule="auto"/>
        <w:rPr>
          <w:rFonts w:ascii="Times New Roman" w:eastAsia="Times New Roman" w:hAnsi="Times New Roman" w:cs="Times New Roman"/>
          <w:b/>
          <w:bCs/>
          <w:sz w:val="24"/>
          <w:szCs w:val="24"/>
          <w:bdr w:val="single" w:sz="4" w:space="0" w:color="auto"/>
          <w:shd w:val="clear" w:color="auto" w:fill="FFCC00"/>
        </w:rPr>
      </w:pPr>
      <w:r w:rsidRPr="00F9557A">
        <w:rPr>
          <w:rFonts w:ascii="Times New Roman" w:eastAsia="Times New Roman" w:hAnsi="Times New Roman" w:cs="Times New Roman"/>
          <w:b/>
          <w:bCs/>
          <w:sz w:val="24"/>
          <w:szCs w:val="24"/>
          <w:bdr w:val="single" w:sz="4" w:space="0" w:color="auto"/>
          <w:shd w:val="clear" w:color="auto" w:fill="FFCC00"/>
        </w:rPr>
        <w:t>PRINCIPAL’S COMMENTS</w:t>
      </w:r>
    </w:p>
    <w:p w:rsidR="00F9557A" w:rsidRPr="00F9557A" w:rsidRDefault="00F9557A" w:rsidP="00F9557A">
      <w:pPr>
        <w:spacing w:after="0" w:line="240" w:lineRule="auto"/>
        <w:rPr>
          <w:rFonts w:ascii="Times New Roman" w:eastAsia="Times New Roman" w:hAnsi="Times New Roman" w:cs="Times New Roman"/>
          <w:b/>
          <w:bCs/>
          <w:sz w:val="24"/>
          <w:szCs w:val="24"/>
          <w:shd w:val="clear" w:color="auto" w:fill="FFCC00"/>
        </w:rPr>
      </w:pPr>
    </w:p>
    <w:p w:rsidR="00F9557A" w:rsidRPr="00F9557A" w:rsidRDefault="00F9557A" w:rsidP="00F9557A">
      <w:p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The paradigm shift from a crisis response model to a standards based school counseling program at BVT has been one of the most exciting innovations I’ve been part of in 30+ years in education. As counselors continue to work with ALL their students in our Employability classes and in follow up counseling sessions, I look forward to seeing data which reveals outcomes related to increased academic achievement, an improved school climate and improved post secondary placement rates.</w:t>
      </w:r>
    </w:p>
    <w:p w:rsidR="00F9557A" w:rsidRPr="00F9557A" w:rsidRDefault="00F9557A" w:rsidP="00F9557A">
      <w:pPr>
        <w:spacing w:after="0" w:line="240" w:lineRule="auto"/>
        <w:rPr>
          <w:rFonts w:ascii="Times New Roman" w:eastAsia="Times New Roman" w:hAnsi="Times New Roman" w:cs="Times New Roman"/>
          <w:b/>
          <w:bCs/>
          <w:sz w:val="18"/>
          <w:szCs w:val="18"/>
          <w:shd w:val="clear" w:color="auto" w:fill="FFCC00"/>
        </w:rPr>
      </w:pPr>
      <w:r w:rsidRPr="00F9557A">
        <w:rPr>
          <w:rFonts w:ascii="Times New Roman" w:eastAsia="Times New Roman" w:hAnsi="Times New Roman" w:cs="Times New Roman"/>
          <w:b/>
          <w:bCs/>
          <w:sz w:val="18"/>
          <w:szCs w:val="18"/>
          <w:shd w:val="clear" w:color="auto" w:fill="FFCC00"/>
        </w:rPr>
        <w:t xml:space="preserve">          </w:t>
      </w:r>
    </w:p>
    <w:p w:rsidR="00F9557A" w:rsidRPr="00F9557A" w:rsidRDefault="00F9557A" w:rsidP="00F9557A">
      <w:pPr>
        <w:spacing w:after="0" w:line="240" w:lineRule="auto"/>
        <w:rPr>
          <w:rFonts w:ascii="Monotype Corsiva" w:eastAsia="Times New Roman" w:hAnsi="Monotype Corsiva" w:cs="Times New Roman"/>
          <w:b/>
          <w:bCs/>
          <w:sz w:val="20"/>
          <w:szCs w:val="20"/>
        </w:rPr>
      </w:pPr>
      <w:r w:rsidRPr="00F9557A">
        <w:rPr>
          <w:rFonts w:ascii="Times New Roman" w:eastAsia="Times New Roman" w:hAnsi="Times New Roman" w:cs="Times New Roman"/>
          <w:b/>
          <w:bCs/>
          <w:sz w:val="16"/>
          <w:szCs w:val="16"/>
        </w:rPr>
        <w:t xml:space="preserve">                                                                                                                                                  </w:t>
      </w:r>
      <w:r w:rsidRPr="00F9557A">
        <w:rPr>
          <w:rFonts w:ascii="Monotype Corsiva" w:eastAsia="Times New Roman" w:hAnsi="Monotype Corsiva" w:cs="Times New Roman"/>
          <w:b/>
          <w:bCs/>
          <w:sz w:val="20"/>
          <w:szCs w:val="20"/>
        </w:rPr>
        <w:t>Richard P. Brennan, Principal</w:t>
      </w:r>
    </w:p>
    <w:p w:rsidR="00F9557A" w:rsidRPr="00F9557A" w:rsidRDefault="00F9557A" w:rsidP="00F9557A">
      <w:pPr>
        <w:spacing w:after="0" w:line="240" w:lineRule="auto"/>
        <w:rPr>
          <w:rFonts w:ascii="Monotype Corsiva" w:eastAsia="Times New Roman" w:hAnsi="Monotype Corsiva" w:cs="Times New Roman"/>
          <w:b/>
          <w:bCs/>
          <w:sz w:val="24"/>
          <w:szCs w:val="24"/>
          <w:bdr w:val="single" w:sz="4" w:space="0" w:color="auto"/>
          <w:shd w:val="clear" w:color="auto" w:fill="FFCC00"/>
        </w:rPr>
      </w:pPr>
      <w:bookmarkStart w:id="0" w:name="_GoBack"/>
      <w:r w:rsidRPr="00F9557A">
        <w:rPr>
          <w:rFonts w:ascii="Times New Roman" w:eastAsia="Times New Roman" w:hAnsi="Times New Roman" w:cs="Times New Roman"/>
          <w:b/>
          <w:bCs/>
          <w:sz w:val="24"/>
          <w:szCs w:val="24"/>
          <w:bdr w:val="single" w:sz="4" w:space="0" w:color="auto"/>
          <w:shd w:val="clear" w:color="auto" w:fill="FFCC00"/>
        </w:rPr>
        <w:t xml:space="preserve">STUDENT RESULTS                                                          </w:t>
      </w:r>
    </w:p>
    <w:bookmarkEnd w:id="0"/>
    <w:p w:rsidR="00F9557A" w:rsidRPr="00F9557A" w:rsidRDefault="00F9557A" w:rsidP="00F9557A">
      <w:pPr>
        <w:spacing w:after="0" w:line="240" w:lineRule="auto"/>
        <w:rPr>
          <w:rFonts w:ascii="Times New Roman" w:eastAsia="Times New Roman" w:hAnsi="Times New Roman" w:cs="Times New Roman"/>
          <w:b/>
          <w:bCs/>
          <w:sz w:val="24"/>
          <w:szCs w:val="24"/>
        </w:rPr>
      </w:pPr>
    </w:p>
    <w:tbl>
      <w:tblPr>
        <w:tblW w:w="0" w:type="auto"/>
        <w:tblLook w:val="01E0" w:firstRow="1" w:lastRow="1" w:firstColumn="1" w:lastColumn="1" w:noHBand="0" w:noVBand="0"/>
      </w:tblPr>
      <w:tblGrid>
        <w:gridCol w:w="5616"/>
        <w:gridCol w:w="5220"/>
      </w:tblGrid>
      <w:tr w:rsidR="00F9557A" w:rsidRPr="00F9557A" w:rsidTr="00BC2A71">
        <w:tc>
          <w:tcPr>
            <w:tcW w:w="5148" w:type="dxa"/>
          </w:tcPr>
          <w:p w:rsidR="00F9557A" w:rsidRPr="00F9557A" w:rsidRDefault="00F9557A" w:rsidP="00F9557A">
            <w:pPr>
              <w:spacing w:after="0" w:line="240" w:lineRule="auto"/>
              <w:jc w:val="center"/>
              <w:rPr>
                <w:rFonts w:ascii="Times New Roman" w:eastAsia="Times New Roman" w:hAnsi="Times New Roman" w:cs="Times New Roman"/>
                <w:b/>
                <w:bCs/>
                <w:sz w:val="24"/>
                <w:szCs w:val="24"/>
              </w:rPr>
            </w:pPr>
            <w:r w:rsidRPr="00F9557A">
              <w:rPr>
                <w:rFonts w:ascii="Times New Roman" w:eastAsia="Times New Roman" w:hAnsi="Times New Roman" w:cs="Times New Roman"/>
                <w:noProof/>
                <w:sz w:val="24"/>
                <w:szCs w:val="24"/>
              </w:rPr>
              <w:drawing>
                <wp:inline distT="0" distB="0" distL="0" distR="0">
                  <wp:extent cx="3429000" cy="2095500"/>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5220" w:type="dxa"/>
          </w:tcPr>
          <w:p w:rsidR="00F9557A" w:rsidRPr="00F9557A" w:rsidRDefault="00F9557A" w:rsidP="00F9557A">
            <w:pPr>
              <w:spacing w:after="0" w:line="240" w:lineRule="auto"/>
              <w:jc w:val="center"/>
              <w:rPr>
                <w:rFonts w:ascii="Times New Roman" w:eastAsia="Times New Roman" w:hAnsi="Times New Roman" w:cs="Times New Roman"/>
                <w:b/>
                <w:bCs/>
                <w:sz w:val="24"/>
                <w:szCs w:val="24"/>
              </w:rPr>
            </w:pPr>
            <w:r w:rsidRPr="00F9557A">
              <w:rPr>
                <w:rFonts w:ascii="Times New Roman" w:eastAsia="Times New Roman" w:hAnsi="Times New Roman" w:cs="Times New Roman"/>
                <w:noProof/>
                <w:sz w:val="24"/>
                <w:szCs w:val="24"/>
              </w:rPr>
              <w:drawing>
                <wp:inline distT="0" distB="0" distL="0" distR="0" wp14:anchorId="1657698D" wp14:editId="3278F6B4">
                  <wp:extent cx="3055620" cy="2080260"/>
                  <wp:effectExtent l="0" t="0" r="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F9557A" w:rsidRPr="00F9557A" w:rsidRDefault="00F9557A" w:rsidP="00F9557A">
      <w:pPr>
        <w:shd w:val="clear" w:color="auto" w:fill="FFFFFF"/>
        <w:spacing w:after="0" w:line="240" w:lineRule="auto"/>
        <w:rPr>
          <w:rFonts w:ascii="Times New Roman" w:eastAsia="Times New Roman" w:hAnsi="Times New Roman" w:cs="Times New Roman"/>
          <w:bCs/>
          <w:sz w:val="18"/>
          <w:szCs w:val="18"/>
        </w:rPr>
      </w:pPr>
      <w:r w:rsidRPr="00F9557A">
        <w:rPr>
          <w:rFonts w:ascii="Times New Roman" w:eastAsia="Times New Roman" w:hAnsi="Times New Roman" w:cs="Times New Roman"/>
          <w:bCs/>
          <w:sz w:val="18"/>
          <w:szCs w:val="18"/>
        </w:rPr>
        <w:t>The class of 2009 completed a 14 week exploratory program with great results. The counselor taught Employability curriculum focused on teaching students the Harrington O’Shea Career Decision Making System. 98% of the students got one of their top 3 choices.  Valley Tech seniors once again had a great post graduation placement rate. 45% of our seniors went on to a 2 or 4 year college or technical training program, 49% entered the work force and 3% joined the armed forces.</w:t>
      </w:r>
    </w:p>
    <w:p w:rsidR="00F9557A" w:rsidRPr="00F9557A" w:rsidRDefault="00F9557A" w:rsidP="00F9557A">
      <w:pPr>
        <w:shd w:val="clear" w:color="auto" w:fill="FFFFFF"/>
        <w:spacing w:after="0" w:line="240" w:lineRule="auto"/>
        <w:rPr>
          <w:rFonts w:ascii="Times New Roman" w:eastAsia="Times New Roman" w:hAnsi="Times New Roman" w:cs="Times New Roman"/>
          <w:b/>
          <w:bCs/>
          <w:sz w:val="24"/>
          <w:szCs w:val="24"/>
        </w:rPr>
      </w:pPr>
    </w:p>
    <w:tbl>
      <w:tblPr>
        <w:tblW w:w="0" w:type="auto"/>
        <w:tblLook w:val="01E0" w:firstRow="1" w:lastRow="1" w:firstColumn="1" w:lastColumn="1" w:noHBand="0" w:noVBand="0"/>
      </w:tblPr>
      <w:tblGrid>
        <w:gridCol w:w="5184"/>
        <w:gridCol w:w="5184"/>
      </w:tblGrid>
      <w:tr w:rsidR="00F9557A" w:rsidRPr="00F9557A" w:rsidTr="00BC2A71">
        <w:trPr>
          <w:trHeight w:val="3518"/>
        </w:trPr>
        <w:tc>
          <w:tcPr>
            <w:tcW w:w="5184" w:type="dxa"/>
            <w:vAlign w:val="center"/>
          </w:tcPr>
          <w:p w:rsidR="00F9557A" w:rsidRDefault="00F9557A" w:rsidP="00F9557A">
            <w:pPr>
              <w:spacing w:after="0" w:line="240" w:lineRule="auto"/>
              <w:jc w:val="center"/>
              <w:rPr>
                <w:rFonts w:ascii="Times New Roman" w:eastAsia="Times New Roman" w:hAnsi="Times New Roman" w:cs="Times New Roman"/>
                <w:b/>
                <w:bCs/>
                <w:sz w:val="24"/>
                <w:szCs w:val="24"/>
              </w:rPr>
            </w:pPr>
          </w:p>
          <w:p w:rsidR="00F9557A" w:rsidRDefault="00F9557A" w:rsidP="00F9557A">
            <w:pPr>
              <w:spacing w:after="0" w:line="240" w:lineRule="auto"/>
              <w:jc w:val="center"/>
              <w:rPr>
                <w:rFonts w:ascii="Times New Roman" w:eastAsia="Times New Roman" w:hAnsi="Times New Roman" w:cs="Times New Roman"/>
                <w:b/>
                <w:bCs/>
                <w:sz w:val="24"/>
                <w:szCs w:val="24"/>
              </w:rPr>
            </w:pPr>
          </w:p>
          <w:p w:rsidR="00F9557A" w:rsidRDefault="00F9557A" w:rsidP="00F9557A">
            <w:pPr>
              <w:spacing w:after="0" w:line="240" w:lineRule="auto"/>
              <w:jc w:val="center"/>
              <w:rPr>
                <w:rFonts w:ascii="Times New Roman" w:eastAsia="Times New Roman" w:hAnsi="Times New Roman" w:cs="Times New Roman"/>
                <w:b/>
                <w:bCs/>
                <w:sz w:val="24"/>
                <w:szCs w:val="24"/>
              </w:rPr>
            </w:pPr>
          </w:p>
          <w:p w:rsidR="00F9557A" w:rsidRDefault="00F9557A" w:rsidP="00F9557A">
            <w:pPr>
              <w:spacing w:after="0" w:line="240" w:lineRule="auto"/>
              <w:jc w:val="center"/>
              <w:rPr>
                <w:rFonts w:ascii="Times New Roman" w:eastAsia="Times New Roman" w:hAnsi="Times New Roman" w:cs="Times New Roman"/>
                <w:b/>
                <w:bCs/>
                <w:sz w:val="24"/>
                <w:szCs w:val="24"/>
              </w:rPr>
            </w:pPr>
          </w:p>
          <w:p w:rsidR="00F9557A" w:rsidRPr="00F9557A" w:rsidRDefault="00F9557A" w:rsidP="00F9557A">
            <w:pPr>
              <w:spacing w:after="0" w:line="240" w:lineRule="auto"/>
              <w:jc w:val="center"/>
              <w:rPr>
                <w:rFonts w:ascii="Times New Roman" w:eastAsia="Times New Roman" w:hAnsi="Times New Roman" w:cs="Times New Roman"/>
                <w:b/>
                <w:bCs/>
                <w:sz w:val="24"/>
                <w:szCs w:val="24"/>
              </w:rPr>
            </w:pPr>
            <w:r w:rsidRPr="00F9557A">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112395</wp:posOffset>
                  </wp:positionH>
                  <wp:positionV relativeFrom="paragraph">
                    <wp:posOffset>-2383155</wp:posOffset>
                  </wp:positionV>
                  <wp:extent cx="2971800" cy="2424430"/>
                  <wp:effectExtent l="19050" t="19050" r="19050" b="139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242443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5184" w:type="dxa"/>
          </w:tcPr>
          <w:p w:rsidR="00F9557A" w:rsidRPr="00F9557A" w:rsidRDefault="00F9557A" w:rsidP="00F9557A">
            <w:pPr>
              <w:spacing w:after="0" w:line="240" w:lineRule="auto"/>
              <w:rPr>
                <w:rFonts w:ascii="Times New Roman" w:eastAsia="Times New Roman" w:hAnsi="Times New Roman" w:cs="Times New Roman"/>
                <w:sz w:val="16"/>
                <w:szCs w:val="16"/>
              </w:rPr>
            </w:pPr>
          </w:p>
          <w:p w:rsidR="00F9557A" w:rsidRPr="00F9557A" w:rsidRDefault="00F9557A" w:rsidP="00F9557A">
            <w:pPr>
              <w:spacing w:after="0" w:line="240" w:lineRule="auto"/>
              <w:jc w:val="center"/>
              <w:rPr>
                <w:rFonts w:ascii="Times New Roman" w:eastAsia="Times New Roman" w:hAnsi="Times New Roman" w:cs="Times New Roman"/>
                <w:sz w:val="16"/>
                <w:szCs w:val="16"/>
              </w:rPr>
            </w:pPr>
            <w:r w:rsidRPr="00F9557A">
              <w:rPr>
                <w:rFonts w:ascii="Times New Roman" w:eastAsia="Times New Roman" w:hAnsi="Times New Roman" w:cs="Times New Roman"/>
                <w:bCs/>
                <w:noProof/>
                <w:sz w:val="18"/>
                <w:szCs w:val="18"/>
              </w:rPr>
              <w:drawing>
                <wp:anchor distT="0" distB="0" distL="114300" distR="114300" simplePos="0" relativeHeight="251660288" behindDoc="0" locked="0" layoutInCell="1" allowOverlap="1">
                  <wp:simplePos x="0" y="0"/>
                  <wp:positionH relativeFrom="column">
                    <wp:posOffset>712470</wp:posOffset>
                  </wp:positionH>
                  <wp:positionV relativeFrom="paragraph">
                    <wp:posOffset>29210</wp:posOffset>
                  </wp:positionV>
                  <wp:extent cx="1710690" cy="452755"/>
                  <wp:effectExtent l="0" t="0" r="381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690" cy="452755"/>
                          </a:xfrm>
                          <a:prstGeom prst="rect">
                            <a:avLst/>
                          </a:prstGeom>
                          <a:noFill/>
                        </pic:spPr>
                      </pic:pic>
                    </a:graphicData>
                  </a:graphic>
                  <wp14:sizeRelH relativeFrom="page">
                    <wp14:pctWidth>0</wp14:pctWidth>
                  </wp14:sizeRelH>
                  <wp14:sizeRelV relativeFrom="page">
                    <wp14:pctHeight>0</wp14:pctHeight>
                  </wp14:sizeRelV>
                </wp:anchor>
              </w:drawing>
            </w:r>
          </w:p>
          <w:p w:rsidR="00F9557A" w:rsidRPr="00F9557A" w:rsidRDefault="00F9557A" w:rsidP="00F9557A">
            <w:pPr>
              <w:spacing w:after="0" w:line="240" w:lineRule="auto"/>
              <w:jc w:val="center"/>
              <w:rPr>
                <w:rFonts w:ascii="Times New Roman" w:eastAsia="Times New Roman" w:hAnsi="Times New Roman" w:cs="Times New Roman"/>
                <w:sz w:val="18"/>
                <w:szCs w:val="18"/>
              </w:rPr>
            </w:pPr>
          </w:p>
          <w:p w:rsidR="00F9557A" w:rsidRPr="00F9557A" w:rsidRDefault="00F9557A" w:rsidP="00F9557A">
            <w:pPr>
              <w:spacing w:after="0" w:line="240" w:lineRule="auto"/>
              <w:rPr>
                <w:rFonts w:ascii="Times New Roman" w:eastAsia="Times New Roman" w:hAnsi="Times New Roman" w:cs="Times New Roman"/>
                <w:sz w:val="18"/>
                <w:szCs w:val="18"/>
              </w:rPr>
            </w:pPr>
          </w:p>
          <w:p w:rsidR="00F9557A" w:rsidRPr="00F9557A" w:rsidRDefault="00F9557A" w:rsidP="00F9557A">
            <w:pPr>
              <w:spacing w:after="0" w:line="240" w:lineRule="auto"/>
              <w:rPr>
                <w:rFonts w:ascii="Times New Roman" w:eastAsia="Times New Roman" w:hAnsi="Times New Roman" w:cs="Times New Roman"/>
                <w:sz w:val="18"/>
                <w:szCs w:val="18"/>
              </w:rPr>
            </w:pPr>
          </w:p>
          <w:p w:rsidR="00F9557A" w:rsidRPr="00F9557A" w:rsidRDefault="00F9557A" w:rsidP="00F9557A">
            <w:pPr>
              <w:spacing w:after="0" w:line="240" w:lineRule="auto"/>
              <w:rPr>
                <w:rFonts w:ascii="Times New Roman" w:eastAsia="Times New Roman" w:hAnsi="Times New Roman" w:cs="Times New Roman"/>
                <w:sz w:val="18"/>
                <w:szCs w:val="18"/>
              </w:rPr>
            </w:pPr>
          </w:p>
          <w:p w:rsidR="00F9557A" w:rsidRPr="00F9557A" w:rsidRDefault="00F9557A" w:rsidP="00F9557A">
            <w:pPr>
              <w:spacing w:after="0" w:line="240" w:lineRule="auto"/>
              <w:jc w:val="center"/>
              <w:rPr>
                <w:rFonts w:ascii="Times New Roman" w:eastAsia="Times New Roman" w:hAnsi="Times New Roman" w:cs="Times New Roman"/>
                <w:b/>
                <w:color w:val="800080"/>
                <w:sz w:val="18"/>
                <w:szCs w:val="18"/>
              </w:rPr>
            </w:pPr>
            <w:r w:rsidRPr="00F9557A">
              <w:rPr>
                <w:rFonts w:ascii="Times New Roman" w:eastAsia="Times New Roman" w:hAnsi="Times New Roman" w:cs="Times New Roman"/>
                <w:b/>
                <w:color w:val="800080"/>
                <w:sz w:val="18"/>
                <w:szCs w:val="18"/>
              </w:rPr>
              <w:t>$38,500 was awarded to members of the Class of 2005</w:t>
            </w:r>
          </w:p>
          <w:p w:rsidR="00F9557A" w:rsidRPr="00F9557A" w:rsidRDefault="00F9557A" w:rsidP="00F9557A">
            <w:pPr>
              <w:spacing w:after="0" w:line="240" w:lineRule="auto"/>
              <w:jc w:val="center"/>
              <w:rPr>
                <w:rFonts w:ascii="Times New Roman" w:eastAsia="Times New Roman" w:hAnsi="Times New Roman" w:cs="Times New Roman"/>
                <w:b/>
                <w:color w:val="800080"/>
                <w:sz w:val="18"/>
                <w:szCs w:val="18"/>
              </w:rPr>
            </w:pPr>
            <w:r w:rsidRPr="00F9557A">
              <w:rPr>
                <w:rFonts w:ascii="Times New Roman" w:eastAsia="Times New Roman" w:hAnsi="Times New Roman" w:cs="Times New Roman"/>
                <w:b/>
                <w:color w:val="800080"/>
                <w:sz w:val="18"/>
                <w:szCs w:val="18"/>
              </w:rPr>
              <w:t>to fund their futures</w:t>
            </w:r>
          </w:p>
          <w:p w:rsidR="00F9557A" w:rsidRPr="00F9557A" w:rsidRDefault="00F9557A" w:rsidP="00F9557A">
            <w:pPr>
              <w:spacing w:after="0" w:line="240" w:lineRule="auto"/>
              <w:jc w:val="center"/>
              <w:rPr>
                <w:rFonts w:ascii="Times New Roman" w:eastAsia="Times New Roman" w:hAnsi="Times New Roman" w:cs="Times New Roman"/>
                <w:b/>
                <w:color w:val="800080"/>
                <w:sz w:val="18"/>
                <w:szCs w:val="18"/>
              </w:rPr>
            </w:pPr>
          </w:p>
          <w:p w:rsidR="00F9557A" w:rsidRPr="00F9557A" w:rsidRDefault="00F9557A" w:rsidP="00F9557A">
            <w:pPr>
              <w:spacing w:after="0" w:line="240" w:lineRule="auto"/>
              <w:jc w:val="center"/>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w:t>
            </w:r>
          </w:p>
          <w:p w:rsidR="00F9557A" w:rsidRPr="00F9557A" w:rsidRDefault="00F9557A" w:rsidP="00F9557A">
            <w:pPr>
              <w:spacing w:after="0" w:line="240" w:lineRule="auto"/>
              <w:rPr>
                <w:rFonts w:ascii="Times New Roman" w:eastAsia="Times New Roman" w:hAnsi="Times New Roman" w:cs="Times New Roman"/>
                <w:b/>
                <w:bCs/>
                <w:sz w:val="18"/>
                <w:szCs w:val="18"/>
              </w:rPr>
            </w:pPr>
            <w:r w:rsidRPr="00F9557A">
              <w:rPr>
                <w:rFonts w:ascii="Times New Roman" w:eastAsia="Times New Roman" w:hAnsi="Times New Roman" w:cs="Times New Roman"/>
                <w:sz w:val="18"/>
                <w:szCs w:val="18"/>
              </w:rPr>
              <w:t>The Depression Screening program has been a major focus over the last five years.  It is encouraging to see positive results thanks to the integrated efforts of the nurses, health teachers, school based health professionals, school psychologist, adjustment counselors, and school counselors</w:t>
            </w:r>
            <w:r w:rsidRPr="00F9557A">
              <w:rPr>
                <w:rFonts w:ascii="Times New Roman" w:eastAsia="Times New Roman" w:hAnsi="Times New Roman" w:cs="Times New Roman"/>
                <w:b/>
                <w:bCs/>
                <w:sz w:val="18"/>
                <w:szCs w:val="18"/>
              </w:rPr>
              <w:t>.  Approximately 1 in 3 of our students report feeling depressed</w:t>
            </w:r>
            <w:r w:rsidRPr="00F9557A">
              <w:rPr>
                <w:rFonts w:ascii="Times New Roman" w:eastAsia="Times New Roman" w:hAnsi="Times New Roman" w:cs="Times New Roman"/>
                <w:sz w:val="18"/>
                <w:szCs w:val="18"/>
              </w:rPr>
              <w:t>.  Thankfully, the most recent student surveys show a significant decrease in seriously depressed thinking.  Student Services will continue to focus on this critical issue by teaching all grade 9 students about the symptoms of depression and warning signs of suicide.</w:t>
            </w:r>
          </w:p>
        </w:tc>
      </w:tr>
    </w:tbl>
    <w:p w:rsidR="00F9557A" w:rsidRPr="00F9557A" w:rsidRDefault="00F9557A" w:rsidP="00F9557A">
      <w:pPr>
        <w:shd w:val="clear" w:color="auto" w:fill="FFFFFF"/>
        <w:spacing w:after="0" w:line="240" w:lineRule="auto"/>
        <w:rPr>
          <w:rFonts w:ascii="Times New Roman" w:eastAsia="Times New Roman" w:hAnsi="Times New Roman" w:cs="Times New Roman"/>
          <w:b/>
          <w:bCs/>
          <w:sz w:val="24"/>
          <w:szCs w:val="24"/>
          <w:shd w:val="clear" w:color="auto" w:fill="FFCC00"/>
        </w:rPr>
      </w:pPr>
      <w:r>
        <w:rPr>
          <w:rFonts w:ascii="Times New Roman" w:eastAsia="Times New Roman" w:hAnsi="Times New Roman" w:cs="Times New Roman"/>
          <w:b/>
          <w:bCs/>
          <w:sz w:val="24"/>
          <w:szCs w:val="24"/>
          <w:bdr w:val="single" w:sz="4" w:space="0" w:color="auto"/>
          <w:shd w:val="clear" w:color="auto" w:fill="FFCC00"/>
        </w:rPr>
        <w:lastRenderedPageBreak/>
        <w:t>S</w:t>
      </w:r>
      <w:r w:rsidRPr="00F9557A">
        <w:rPr>
          <w:rFonts w:ascii="Times New Roman" w:eastAsia="Times New Roman" w:hAnsi="Times New Roman" w:cs="Times New Roman"/>
          <w:b/>
          <w:bCs/>
          <w:sz w:val="24"/>
          <w:szCs w:val="24"/>
          <w:bdr w:val="single" w:sz="4" w:space="0" w:color="auto"/>
          <w:shd w:val="clear" w:color="auto" w:fill="FFCC00"/>
        </w:rPr>
        <w:t>CHOOL CLIMATE AND SAFETY</w:t>
      </w:r>
    </w:p>
    <w:p w:rsidR="00F9557A" w:rsidRPr="00F9557A" w:rsidRDefault="00F9557A" w:rsidP="00F9557A">
      <w:pPr>
        <w:shd w:val="clear" w:color="auto" w:fill="FFFFFF"/>
        <w:spacing w:after="0" w:line="240" w:lineRule="auto"/>
        <w:rPr>
          <w:rFonts w:ascii="Times New Roman" w:eastAsia="Times New Roman" w:hAnsi="Times New Roman" w:cs="Times New Roman"/>
          <w:sz w:val="24"/>
          <w:szCs w:val="24"/>
        </w:rPr>
      </w:pPr>
    </w:p>
    <w:tbl>
      <w:tblPr>
        <w:tblW w:w="0" w:type="auto"/>
        <w:tblLayout w:type="fixed"/>
        <w:tblLook w:val="01E0" w:firstRow="1" w:lastRow="1" w:firstColumn="1" w:lastColumn="1" w:noHBand="0" w:noVBand="0"/>
      </w:tblPr>
      <w:tblGrid>
        <w:gridCol w:w="5328"/>
        <w:gridCol w:w="5040"/>
      </w:tblGrid>
      <w:tr w:rsidR="00F9557A" w:rsidRPr="00F9557A" w:rsidTr="00BC2A71">
        <w:tc>
          <w:tcPr>
            <w:tcW w:w="5328" w:type="dxa"/>
          </w:tcPr>
          <w:p w:rsidR="00F9557A" w:rsidRPr="00F9557A" w:rsidRDefault="00F9557A" w:rsidP="00F9557A">
            <w:pPr>
              <w:spacing w:after="0" w:line="240" w:lineRule="auto"/>
              <w:rPr>
                <w:rFonts w:ascii="Times New Roman" w:eastAsia="Times New Roman" w:hAnsi="Times New Roman" w:cs="Times New Roman"/>
                <w:sz w:val="24"/>
                <w:szCs w:val="24"/>
              </w:rPr>
            </w:pPr>
            <w:r w:rsidRPr="00F9557A">
              <w:rPr>
                <w:rFonts w:ascii="Times New Roman" w:eastAsia="Times New Roman" w:hAnsi="Times New Roman" w:cs="Times New Roman"/>
                <w:noProof/>
                <w:sz w:val="24"/>
                <w:szCs w:val="24"/>
              </w:rPr>
              <w:drawing>
                <wp:inline distT="0" distB="0" distL="0" distR="0" wp14:anchorId="659D1EDF" wp14:editId="57B635CA">
                  <wp:extent cx="3314700" cy="1767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767840"/>
                          </a:xfrm>
                          <a:prstGeom prst="rect">
                            <a:avLst/>
                          </a:prstGeom>
                          <a:noFill/>
                          <a:ln>
                            <a:noFill/>
                          </a:ln>
                        </pic:spPr>
                      </pic:pic>
                    </a:graphicData>
                  </a:graphic>
                </wp:inline>
              </w:drawing>
            </w:r>
          </w:p>
        </w:tc>
        <w:tc>
          <w:tcPr>
            <w:tcW w:w="5040" w:type="dxa"/>
          </w:tcPr>
          <w:p w:rsidR="00F9557A" w:rsidRPr="00F9557A" w:rsidRDefault="00F9557A" w:rsidP="00F9557A">
            <w:pPr>
              <w:spacing w:after="0" w:line="240" w:lineRule="auto"/>
              <w:jc w:val="center"/>
              <w:rPr>
                <w:rFonts w:ascii="Times New Roman" w:eastAsia="Times New Roman" w:hAnsi="Times New Roman" w:cs="Times New Roman"/>
                <w:sz w:val="24"/>
                <w:szCs w:val="24"/>
              </w:rPr>
            </w:pPr>
            <w:r w:rsidRPr="00F9557A">
              <w:rPr>
                <w:rFonts w:ascii="Times New Roman" w:eastAsia="Times New Roman" w:hAnsi="Times New Roman" w:cs="Times New Roman"/>
                <w:noProof/>
                <w:sz w:val="24"/>
                <w:szCs w:val="24"/>
              </w:rPr>
              <w:drawing>
                <wp:inline distT="0" distB="0" distL="0" distR="0" wp14:anchorId="043A6BFD" wp14:editId="504D8813">
                  <wp:extent cx="3009900" cy="1813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813560"/>
                          </a:xfrm>
                          <a:prstGeom prst="rect">
                            <a:avLst/>
                          </a:prstGeom>
                          <a:noFill/>
                          <a:ln>
                            <a:noFill/>
                          </a:ln>
                        </pic:spPr>
                      </pic:pic>
                    </a:graphicData>
                  </a:graphic>
                </wp:inline>
              </w:drawing>
            </w:r>
          </w:p>
        </w:tc>
      </w:tr>
    </w:tbl>
    <w:p w:rsidR="00F9557A" w:rsidRPr="00F9557A" w:rsidRDefault="00F9557A" w:rsidP="00F9557A">
      <w:pPr>
        <w:shd w:val="clear" w:color="auto" w:fill="FFFFFF"/>
        <w:spacing w:after="0" w:line="240" w:lineRule="auto"/>
        <w:rPr>
          <w:rFonts w:ascii="Times New Roman" w:eastAsia="Times New Roman" w:hAnsi="Times New Roman" w:cs="Times New Roman"/>
          <w:b/>
          <w:bCs/>
          <w:sz w:val="18"/>
          <w:szCs w:val="18"/>
          <w:bdr w:val="single" w:sz="4" w:space="0" w:color="auto"/>
          <w:shd w:val="clear" w:color="auto" w:fill="FFCC00"/>
        </w:rPr>
      </w:pPr>
    </w:p>
    <w:p w:rsidR="00F9557A" w:rsidRPr="00F9557A" w:rsidRDefault="00F9557A" w:rsidP="00F9557A">
      <w:pPr>
        <w:shd w:val="clear" w:color="auto" w:fill="FFFFFF"/>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 xml:space="preserve">For the last 5 years the Valley Tech Counseling Department has led school wide initiatives as part of a </w:t>
      </w:r>
      <w:r w:rsidRPr="00F9557A">
        <w:rPr>
          <w:rFonts w:ascii="Times New Roman" w:eastAsia="Times New Roman" w:hAnsi="Times New Roman" w:cs="Times New Roman"/>
          <w:i/>
          <w:sz w:val="18"/>
          <w:szCs w:val="18"/>
        </w:rPr>
        <w:t xml:space="preserve">Respect Across the Curriculum </w:t>
      </w:r>
      <w:r w:rsidRPr="00F9557A">
        <w:rPr>
          <w:rFonts w:ascii="Times New Roman" w:eastAsia="Times New Roman" w:hAnsi="Times New Roman" w:cs="Times New Roman"/>
          <w:sz w:val="18"/>
          <w:szCs w:val="18"/>
        </w:rPr>
        <w:t xml:space="preserve">initiative. This year the School Adjustment Counselor spearheaded a committee comprised of staff and students, which focused on creating and maintaining a positive school climate. The committee began their endeavors with a </w:t>
      </w:r>
      <w:r w:rsidRPr="00F9557A">
        <w:rPr>
          <w:rFonts w:ascii="Times New Roman" w:eastAsia="Times New Roman" w:hAnsi="Times New Roman" w:cs="Times New Roman"/>
          <w:b/>
          <w:sz w:val="18"/>
          <w:szCs w:val="18"/>
        </w:rPr>
        <w:t>Safety Summit Day</w:t>
      </w:r>
      <w:r w:rsidRPr="00F9557A">
        <w:rPr>
          <w:rFonts w:ascii="Times New Roman" w:eastAsia="Times New Roman" w:hAnsi="Times New Roman" w:cs="Times New Roman"/>
          <w:sz w:val="18"/>
          <w:szCs w:val="18"/>
        </w:rPr>
        <w:t xml:space="preserve">, on which the focus was “A Safe and </w:t>
      </w:r>
      <w:smartTag w:uri="urn:schemas-microsoft-com:office:smarttags" w:element="place">
        <w:smartTag w:uri="urn:schemas-microsoft-com:office:smarttags" w:element="PlaceName">
          <w:r w:rsidRPr="00F9557A">
            <w:rPr>
              <w:rFonts w:ascii="Times New Roman" w:eastAsia="Times New Roman" w:hAnsi="Times New Roman" w:cs="Times New Roman"/>
              <w:sz w:val="18"/>
              <w:szCs w:val="18"/>
            </w:rPr>
            <w:t>Drug</w:t>
          </w:r>
        </w:smartTag>
        <w:r w:rsidRPr="00F9557A">
          <w:rPr>
            <w:rFonts w:ascii="Times New Roman" w:eastAsia="Times New Roman" w:hAnsi="Times New Roman" w:cs="Times New Roman"/>
            <w:sz w:val="18"/>
            <w:szCs w:val="18"/>
          </w:rPr>
          <w:t xml:space="preserve"> </w:t>
        </w:r>
        <w:smartTag w:uri="urn:schemas-microsoft-com:office:smarttags" w:element="PlaceName">
          <w:r w:rsidRPr="00F9557A">
            <w:rPr>
              <w:rFonts w:ascii="Times New Roman" w:eastAsia="Times New Roman" w:hAnsi="Times New Roman" w:cs="Times New Roman"/>
              <w:sz w:val="18"/>
              <w:szCs w:val="18"/>
            </w:rPr>
            <w:t>Free</w:t>
          </w:r>
        </w:smartTag>
        <w:r w:rsidRPr="00F9557A">
          <w:rPr>
            <w:rFonts w:ascii="Times New Roman" w:eastAsia="Times New Roman" w:hAnsi="Times New Roman" w:cs="Times New Roman"/>
            <w:sz w:val="18"/>
            <w:szCs w:val="18"/>
          </w:rPr>
          <w:t xml:space="preserve"> </w:t>
        </w:r>
        <w:smartTag w:uri="urn:schemas-microsoft-com:office:smarttags" w:element="PlaceType">
          <w:r w:rsidRPr="00F9557A">
            <w:rPr>
              <w:rFonts w:ascii="Times New Roman" w:eastAsia="Times New Roman" w:hAnsi="Times New Roman" w:cs="Times New Roman"/>
              <w:sz w:val="18"/>
              <w:szCs w:val="18"/>
            </w:rPr>
            <w:t>School</w:t>
          </w:r>
        </w:smartTag>
      </w:smartTag>
      <w:r w:rsidRPr="00F9557A">
        <w:rPr>
          <w:rFonts w:ascii="Times New Roman" w:eastAsia="Times New Roman" w:hAnsi="Times New Roman" w:cs="Times New Roman"/>
          <w:sz w:val="18"/>
          <w:szCs w:val="18"/>
        </w:rPr>
        <w:t>”. The day was built around lesson plans [which all teachers used to reach all students!], hands-on activities and a play seen at a school-wide assembly. 81% of the student body felt the play was informative and helpful, and 79% of the students chose to participate in the ‘Kick Drug out of our School” campaign</w:t>
      </w:r>
    </w:p>
    <w:p w:rsidR="00F9557A" w:rsidRPr="00F9557A" w:rsidRDefault="00F9557A" w:rsidP="00F9557A">
      <w:pPr>
        <w:shd w:val="clear" w:color="auto" w:fill="FFFFFF"/>
        <w:spacing w:after="0" w:line="240" w:lineRule="auto"/>
        <w:rPr>
          <w:rFonts w:ascii="Times New Roman" w:eastAsia="Times New Roman" w:hAnsi="Times New Roman" w:cs="Times New Roman"/>
          <w:sz w:val="18"/>
          <w:szCs w:val="18"/>
        </w:rPr>
      </w:pPr>
    </w:p>
    <w:p w:rsidR="00F9557A" w:rsidRPr="00F9557A" w:rsidRDefault="00F9557A" w:rsidP="00F9557A">
      <w:pPr>
        <w:shd w:val="clear" w:color="auto" w:fill="FFFFFF"/>
        <w:spacing w:after="0" w:line="240" w:lineRule="auto"/>
        <w:rPr>
          <w:rFonts w:ascii="Times New Roman" w:eastAsia="Times New Roman" w:hAnsi="Times New Roman" w:cs="Times New Roman"/>
          <w:b/>
          <w:bCs/>
          <w:sz w:val="24"/>
          <w:szCs w:val="24"/>
          <w:bdr w:val="single" w:sz="4" w:space="0" w:color="auto"/>
          <w:shd w:val="clear" w:color="auto" w:fill="FFCC00"/>
        </w:rPr>
      </w:pPr>
      <w:r w:rsidRPr="00F9557A">
        <w:rPr>
          <w:rFonts w:ascii="Times New Roman" w:eastAsia="Times New Roman" w:hAnsi="Times New Roman" w:cs="Times New Roman"/>
          <w:b/>
          <w:bCs/>
          <w:sz w:val="24"/>
          <w:szCs w:val="24"/>
          <w:bdr w:val="single" w:sz="4" w:space="0" w:color="auto"/>
          <w:shd w:val="clear" w:color="auto" w:fill="FFCC00"/>
        </w:rPr>
        <w:t>MEASUREMENTS</w:t>
      </w:r>
    </w:p>
    <w:p w:rsidR="00F9557A" w:rsidRPr="00F9557A" w:rsidRDefault="00F9557A" w:rsidP="00F9557A">
      <w:pPr>
        <w:shd w:val="clear" w:color="auto" w:fill="FFFFFF"/>
        <w:spacing w:after="0" w:line="240" w:lineRule="auto"/>
        <w:rPr>
          <w:rFonts w:ascii="Times New Roman" w:eastAsia="Times New Roman" w:hAnsi="Times New Roman" w:cs="Times New Roman"/>
          <w:b/>
          <w:bCs/>
          <w:sz w:val="24"/>
          <w:szCs w:val="24"/>
          <w:shd w:val="clear" w:color="auto" w:fill="FFCC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3456"/>
        <w:gridCol w:w="3456"/>
      </w:tblGrid>
      <w:tr w:rsidR="00F9557A" w:rsidRPr="00F9557A" w:rsidTr="00BC2A71">
        <w:tc>
          <w:tcPr>
            <w:tcW w:w="3456" w:type="dxa"/>
          </w:tcPr>
          <w:p w:rsidR="00F9557A" w:rsidRPr="00F9557A" w:rsidRDefault="00F9557A" w:rsidP="00F9557A">
            <w:pPr>
              <w:spacing w:after="0" w:line="240" w:lineRule="auto"/>
              <w:jc w:val="center"/>
              <w:rPr>
                <w:rFonts w:ascii="Times New Roman" w:eastAsia="Times New Roman" w:hAnsi="Times New Roman" w:cs="Times New Roman"/>
                <w:b/>
                <w:sz w:val="18"/>
                <w:szCs w:val="18"/>
              </w:rPr>
            </w:pPr>
            <w:r w:rsidRPr="00F9557A">
              <w:rPr>
                <w:rFonts w:ascii="Times New Roman" w:eastAsia="Times New Roman" w:hAnsi="Times New Roman" w:cs="Times New Roman"/>
                <w:b/>
                <w:sz w:val="18"/>
                <w:szCs w:val="18"/>
              </w:rPr>
              <w:t>CDE Domain</w:t>
            </w:r>
          </w:p>
        </w:tc>
        <w:tc>
          <w:tcPr>
            <w:tcW w:w="3456" w:type="dxa"/>
          </w:tcPr>
          <w:p w:rsidR="00F9557A" w:rsidRPr="00F9557A" w:rsidRDefault="00F9557A" w:rsidP="00F9557A">
            <w:pPr>
              <w:spacing w:after="0" w:line="240" w:lineRule="auto"/>
              <w:jc w:val="center"/>
              <w:rPr>
                <w:rFonts w:ascii="Times New Roman" w:eastAsia="Times New Roman" w:hAnsi="Times New Roman" w:cs="Times New Roman"/>
                <w:b/>
                <w:sz w:val="18"/>
                <w:szCs w:val="18"/>
              </w:rPr>
            </w:pPr>
            <w:r w:rsidRPr="00F9557A">
              <w:rPr>
                <w:rFonts w:ascii="Times New Roman" w:eastAsia="Times New Roman" w:hAnsi="Times New Roman" w:cs="Times New Roman"/>
                <w:b/>
                <w:sz w:val="18"/>
                <w:szCs w:val="18"/>
              </w:rPr>
              <w:t>Measurements</w:t>
            </w:r>
          </w:p>
        </w:tc>
        <w:tc>
          <w:tcPr>
            <w:tcW w:w="3456" w:type="dxa"/>
          </w:tcPr>
          <w:p w:rsidR="00F9557A" w:rsidRPr="00F9557A" w:rsidRDefault="00F9557A" w:rsidP="00F9557A">
            <w:pPr>
              <w:spacing w:after="0" w:line="240" w:lineRule="auto"/>
              <w:jc w:val="center"/>
              <w:rPr>
                <w:rFonts w:ascii="Times New Roman" w:eastAsia="Times New Roman" w:hAnsi="Times New Roman" w:cs="Times New Roman"/>
                <w:b/>
                <w:sz w:val="18"/>
                <w:szCs w:val="18"/>
              </w:rPr>
            </w:pPr>
            <w:r w:rsidRPr="00F9557A">
              <w:rPr>
                <w:rFonts w:ascii="Times New Roman" w:eastAsia="Times New Roman" w:hAnsi="Times New Roman" w:cs="Times New Roman"/>
                <w:b/>
                <w:sz w:val="18"/>
                <w:szCs w:val="18"/>
              </w:rPr>
              <w:t>Management/Responsive Services</w:t>
            </w:r>
          </w:p>
        </w:tc>
      </w:tr>
      <w:tr w:rsidR="00F9557A" w:rsidRPr="00F9557A" w:rsidTr="00BC2A71">
        <w:tc>
          <w:tcPr>
            <w:tcW w:w="3456" w:type="dxa"/>
          </w:tcPr>
          <w:p w:rsidR="00F9557A" w:rsidRPr="00F9557A" w:rsidRDefault="00F9557A" w:rsidP="00F9557A">
            <w:p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 xml:space="preserve"> </w:t>
            </w:r>
          </w:p>
          <w:p w:rsidR="00F9557A" w:rsidRPr="00F9557A" w:rsidRDefault="00F9557A" w:rsidP="00F9557A">
            <w:p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 xml:space="preserve"> Academic/Technical Skill Development</w:t>
            </w:r>
          </w:p>
          <w:p w:rsidR="00F9557A" w:rsidRPr="00F9557A" w:rsidRDefault="00F9557A" w:rsidP="00F9557A">
            <w:pPr>
              <w:spacing w:after="0" w:line="240" w:lineRule="auto"/>
              <w:rPr>
                <w:rFonts w:ascii="Times New Roman" w:eastAsia="Times New Roman" w:hAnsi="Times New Roman" w:cs="Times New Roman"/>
                <w:sz w:val="18"/>
                <w:szCs w:val="18"/>
              </w:rPr>
            </w:pPr>
          </w:p>
        </w:tc>
        <w:tc>
          <w:tcPr>
            <w:tcW w:w="3456" w:type="dxa"/>
          </w:tcPr>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Stanford Diagnostic, MCAS, PSAT’s, SAT’s, NEAP</w:t>
            </w:r>
          </w:p>
        </w:tc>
        <w:tc>
          <w:tcPr>
            <w:tcW w:w="3456" w:type="dxa"/>
          </w:tcPr>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Placement in appropriate courses, tutoring, MCAS “camps”</w:t>
            </w:r>
          </w:p>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Academic advising and individual planning</w:t>
            </w:r>
          </w:p>
        </w:tc>
      </w:tr>
      <w:tr w:rsidR="00F9557A" w:rsidRPr="00F9557A" w:rsidTr="00BC2A71">
        <w:tc>
          <w:tcPr>
            <w:tcW w:w="3456" w:type="dxa"/>
          </w:tcPr>
          <w:p w:rsidR="00F9557A" w:rsidRPr="00F9557A" w:rsidRDefault="00F9557A" w:rsidP="00F9557A">
            <w:pPr>
              <w:spacing w:after="0" w:line="240" w:lineRule="auto"/>
              <w:jc w:val="center"/>
              <w:rPr>
                <w:rFonts w:ascii="Times New Roman" w:eastAsia="Times New Roman" w:hAnsi="Times New Roman" w:cs="Times New Roman"/>
                <w:sz w:val="18"/>
                <w:szCs w:val="18"/>
              </w:rPr>
            </w:pPr>
          </w:p>
          <w:p w:rsidR="00F9557A" w:rsidRPr="00F9557A" w:rsidRDefault="00F9557A" w:rsidP="00F9557A">
            <w:pPr>
              <w:spacing w:after="0" w:line="240" w:lineRule="auto"/>
              <w:jc w:val="center"/>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Workplace Readiness</w:t>
            </w:r>
          </w:p>
        </w:tc>
        <w:tc>
          <w:tcPr>
            <w:tcW w:w="3456" w:type="dxa"/>
          </w:tcPr>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 xml:space="preserve">Harrington-O’Shea Interest Inventory </w:t>
            </w:r>
          </w:p>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Career Portfolio</w:t>
            </w:r>
          </w:p>
        </w:tc>
        <w:tc>
          <w:tcPr>
            <w:tcW w:w="3456" w:type="dxa"/>
          </w:tcPr>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Results used to inform shop placements</w:t>
            </w:r>
          </w:p>
          <w:p w:rsidR="00F9557A" w:rsidRPr="00F9557A" w:rsidRDefault="00F9557A" w:rsidP="00F9557A">
            <w:pPr>
              <w:numPr>
                <w:ilvl w:val="0"/>
                <w:numId w:val="1"/>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2 portfolio entries per year assigned by counselors via Employability classes</w:t>
            </w:r>
          </w:p>
        </w:tc>
      </w:tr>
      <w:tr w:rsidR="00F9557A" w:rsidRPr="00F9557A" w:rsidTr="00BC2A71">
        <w:tc>
          <w:tcPr>
            <w:tcW w:w="3456" w:type="dxa"/>
          </w:tcPr>
          <w:p w:rsidR="00F9557A" w:rsidRPr="00F9557A" w:rsidRDefault="00F9557A" w:rsidP="00F9557A">
            <w:pPr>
              <w:spacing w:after="0" w:line="240" w:lineRule="auto"/>
              <w:jc w:val="center"/>
              <w:rPr>
                <w:rFonts w:ascii="Times New Roman" w:eastAsia="Times New Roman" w:hAnsi="Times New Roman" w:cs="Times New Roman"/>
                <w:sz w:val="18"/>
                <w:szCs w:val="18"/>
              </w:rPr>
            </w:pPr>
          </w:p>
          <w:p w:rsidR="00F9557A" w:rsidRPr="00F9557A" w:rsidRDefault="00F9557A" w:rsidP="00F9557A">
            <w:pPr>
              <w:spacing w:after="0" w:line="240" w:lineRule="auto"/>
              <w:jc w:val="center"/>
              <w:rPr>
                <w:rFonts w:ascii="Times New Roman" w:eastAsia="Times New Roman" w:hAnsi="Times New Roman" w:cs="Times New Roman"/>
                <w:sz w:val="18"/>
                <w:szCs w:val="18"/>
              </w:rPr>
            </w:pPr>
          </w:p>
          <w:p w:rsidR="00F9557A" w:rsidRPr="00F9557A" w:rsidRDefault="00F9557A" w:rsidP="00F9557A">
            <w:pPr>
              <w:spacing w:after="0" w:line="240" w:lineRule="auto"/>
              <w:jc w:val="center"/>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Personal Social Development</w:t>
            </w:r>
          </w:p>
        </w:tc>
        <w:tc>
          <w:tcPr>
            <w:tcW w:w="3456" w:type="dxa"/>
          </w:tcPr>
          <w:p w:rsidR="00F9557A" w:rsidRPr="00F9557A" w:rsidRDefault="00F9557A" w:rsidP="00F9557A">
            <w:pPr>
              <w:numPr>
                <w:ilvl w:val="0"/>
                <w:numId w:val="2"/>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SOS/ Depression Screening</w:t>
            </w:r>
          </w:p>
          <w:p w:rsidR="00F9557A" w:rsidRPr="00F9557A" w:rsidRDefault="00F9557A" w:rsidP="00F9557A">
            <w:pPr>
              <w:spacing w:after="0" w:line="240" w:lineRule="auto"/>
              <w:rPr>
                <w:rFonts w:ascii="Times New Roman" w:eastAsia="Times New Roman" w:hAnsi="Times New Roman" w:cs="Times New Roman"/>
                <w:sz w:val="18"/>
                <w:szCs w:val="18"/>
              </w:rPr>
            </w:pPr>
          </w:p>
          <w:p w:rsidR="00F9557A" w:rsidRPr="00F9557A" w:rsidRDefault="00F9557A" w:rsidP="00F9557A">
            <w:pPr>
              <w:numPr>
                <w:ilvl w:val="0"/>
                <w:numId w:val="2"/>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Youth Risk Behavior Survey</w:t>
            </w:r>
          </w:p>
        </w:tc>
        <w:tc>
          <w:tcPr>
            <w:tcW w:w="3456" w:type="dxa"/>
          </w:tcPr>
          <w:p w:rsidR="00F9557A" w:rsidRPr="00F9557A" w:rsidRDefault="00F9557A" w:rsidP="00F9557A">
            <w:pPr>
              <w:numPr>
                <w:ilvl w:val="0"/>
                <w:numId w:val="2"/>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At risk students screened and referred for follow-up evaluations</w:t>
            </w:r>
          </w:p>
          <w:p w:rsidR="00F9557A" w:rsidRPr="00F9557A" w:rsidRDefault="00F9557A" w:rsidP="00F9557A">
            <w:pPr>
              <w:numPr>
                <w:ilvl w:val="0"/>
                <w:numId w:val="2"/>
              </w:numPr>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Data informs Respect Across the Curriculum initiatives [counselor led school wide activities]</w:t>
            </w:r>
          </w:p>
        </w:tc>
      </w:tr>
    </w:tbl>
    <w:p w:rsidR="00F9557A" w:rsidRPr="00F9557A" w:rsidRDefault="00F9557A" w:rsidP="00F9557A">
      <w:pPr>
        <w:shd w:val="clear" w:color="auto" w:fill="FFFFFF"/>
        <w:spacing w:after="0" w:line="240" w:lineRule="auto"/>
        <w:rPr>
          <w:rFonts w:ascii="Times New Roman" w:eastAsia="Times New Roman" w:hAnsi="Times New Roman" w:cs="Times New Roman"/>
          <w:sz w:val="24"/>
          <w:szCs w:val="24"/>
        </w:rPr>
      </w:pPr>
    </w:p>
    <w:p w:rsidR="00F9557A" w:rsidRPr="00F9557A" w:rsidRDefault="00F9557A" w:rsidP="00F9557A">
      <w:pPr>
        <w:shd w:val="clear" w:color="auto" w:fill="FFFFFF"/>
        <w:spacing w:after="0" w:line="240" w:lineRule="auto"/>
        <w:rPr>
          <w:rFonts w:ascii="Times New Roman" w:eastAsia="Times New Roman" w:hAnsi="Times New Roman" w:cs="Times New Roman"/>
          <w:b/>
          <w:bCs/>
          <w:sz w:val="24"/>
          <w:szCs w:val="24"/>
          <w:bdr w:val="single" w:sz="4" w:space="0" w:color="auto"/>
          <w:shd w:val="clear" w:color="auto" w:fill="FFCC00"/>
        </w:rPr>
      </w:pPr>
      <w:r w:rsidRPr="00F9557A">
        <w:rPr>
          <w:rFonts w:ascii="Times New Roman" w:eastAsia="Times New Roman" w:hAnsi="Times New Roman" w:cs="Times New Roman"/>
          <w:b/>
          <w:bCs/>
          <w:sz w:val="24"/>
          <w:szCs w:val="24"/>
          <w:bdr w:val="single" w:sz="4" w:space="0" w:color="auto"/>
          <w:shd w:val="clear" w:color="auto" w:fill="FFCC00"/>
        </w:rPr>
        <w:t>FOCUS FOR IMPROVEMENT</w:t>
      </w:r>
    </w:p>
    <w:p w:rsidR="00F9557A" w:rsidRPr="00F9557A" w:rsidRDefault="00F9557A" w:rsidP="00F9557A">
      <w:pPr>
        <w:shd w:val="clear" w:color="auto" w:fill="FFFFFF"/>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300"/>
      </w:tblGrid>
      <w:tr w:rsidR="00F9557A" w:rsidRPr="00F9557A" w:rsidTr="00BC2A71">
        <w:trPr>
          <w:trHeight w:val="2618"/>
        </w:trPr>
        <w:tc>
          <w:tcPr>
            <w:tcW w:w="4068" w:type="dxa"/>
            <w:vAlign w:val="center"/>
          </w:tcPr>
          <w:p w:rsidR="00F9557A" w:rsidRPr="00F9557A" w:rsidRDefault="00F9557A" w:rsidP="00F9557A">
            <w:pPr>
              <w:spacing w:after="0" w:line="240" w:lineRule="auto"/>
              <w:rPr>
                <w:rFonts w:ascii="Times New Roman" w:eastAsia="Times New Roman" w:hAnsi="Times New Roman" w:cs="Times New Roman"/>
                <w:sz w:val="24"/>
                <w:szCs w:val="24"/>
              </w:rPr>
            </w:pPr>
            <w:r w:rsidRPr="00F9557A">
              <w:rPr>
                <w:rFonts w:ascii="Times New Roman" w:eastAsia="Times New Roman" w:hAnsi="Times New Roman" w:cs="Times New Roman"/>
                <w:noProof/>
                <w:sz w:val="24"/>
                <w:szCs w:val="24"/>
              </w:rPr>
              <w:drawing>
                <wp:inline distT="0" distB="0" distL="0" distR="0" wp14:anchorId="496A1F76" wp14:editId="0745D48D">
                  <wp:extent cx="244602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1485900"/>
                          </a:xfrm>
                          <a:prstGeom prst="rect">
                            <a:avLst/>
                          </a:prstGeom>
                          <a:noFill/>
                          <a:ln>
                            <a:noFill/>
                          </a:ln>
                        </pic:spPr>
                      </pic:pic>
                    </a:graphicData>
                  </a:graphic>
                </wp:inline>
              </w:drawing>
            </w:r>
          </w:p>
        </w:tc>
        <w:tc>
          <w:tcPr>
            <w:tcW w:w="6300" w:type="dxa"/>
            <w:vAlign w:val="center"/>
          </w:tcPr>
          <w:tbl>
            <w:tblPr>
              <w:tblpPr w:leftFromText="180" w:rightFromText="180" w:vertAnchor="text" w:horzAnchor="margin" w:tblpY="-863"/>
              <w:tblOverlap w:val="never"/>
              <w:tblW w:w="6048" w:type="dxa"/>
              <w:tblLayout w:type="fixed"/>
              <w:tblLook w:val="0000" w:firstRow="0" w:lastRow="0" w:firstColumn="0" w:lastColumn="0" w:noHBand="0" w:noVBand="0"/>
            </w:tblPr>
            <w:tblGrid>
              <w:gridCol w:w="6048"/>
            </w:tblGrid>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1 - School safety issues</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2 - School wide communication issues</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3 - Reducing harassment/bullying</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4 - Raising the bar regarding grades/graduation requirements</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5 - Raising the bar regarding attendance</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6 - Developing and implementing an electronic communication system for at risk students/SRT meetings</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7 - Developing a faculty handbook</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8 - Increasing grading consistency amongst staff</w:t>
                  </w:r>
                </w:p>
              </w:tc>
            </w:tr>
            <w:tr w:rsidR="00F9557A" w:rsidRPr="00F9557A" w:rsidTr="00BC2A71">
              <w:trPr>
                <w:trHeight w:val="255"/>
              </w:trPr>
              <w:tc>
                <w:tcPr>
                  <w:tcW w:w="6048" w:type="dxa"/>
                  <w:noWrap/>
                  <w:vAlign w:val="bottom"/>
                </w:tcPr>
                <w:p w:rsidR="00F9557A" w:rsidRPr="00F9557A" w:rsidRDefault="00F9557A" w:rsidP="00F9557A">
                  <w:pPr>
                    <w:spacing w:after="0" w:line="240" w:lineRule="auto"/>
                    <w:rPr>
                      <w:rFonts w:ascii="Arial" w:eastAsia="Times New Roman" w:hAnsi="Arial" w:cs="Arial"/>
                      <w:sz w:val="20"/>
                      <w:szCs w:val="20"/>
                    </w:rPr>
                  </w:pPr>
                  <w:r w:rsidRPr="00F9557A">
                    <w:rPr>
                      <w:rFonts w:ascii="Arial" w:eastAsia="Times New Roman" w:hAnsi="Arial" w:cs="Arial"/>
                      <w:sz w:val="20"/>
                      <w:szCs w:val="20"/>
                    </w:rPr>
                    <w:t>9 - Raising the bar for discipline</w:t>
                  </w:r>
                </w:p>
              </w:tc>
            </w:tr>
          </w:tbl>
          <w:p w:rsidR="00F9557A" w:rsidRPr="00F9557A" w:rsidRDefault="00F9557A" w:rsidP="00F9557A">
            <w:pPr>
              <w:spacing w:after="0" w:line="240" w:lineRule="auto"/>
              <w:rPr>
                <w:rFonts w:ascii="Times New Roman" w:eastAsia="Times New Roman" w:hAnsi="Times New Roman" w:cs="Times New Roman"/>
                <w:sz w:val="24"/>
                <w:szCs w:val="24"/>
              </w:rPr>
            </w:pPr>
          </w:p>
        </w:tc>
      </w:tr>
    </w:tbl>
    <w:p w:rsidR="00F9557A" w:rsidRPr="00F9557A" w:rsidRDefault="00F9557A" w:rsidP="00F9557A">
      <w:pPr>
        <w:shd w:val="clear" w:color="auto" w:fill="FFFFFF"/>
        <w:spacing w:after="0" w:line="240" w:lineRule="auto"/>
        <w:rPr>
          <w:rFonts w:ascii="Times New Roman" w:eastAsia="Times New Roman" w:hAnsi="Times New Roman" w:cs="Times New Roman"/>
          <w:sz w:val="24"/>
          <w:szCs w:val="24"/>
        </w:rPr>
      </w:pPr>
    </w:p>
    <w:p w:rsidR="00F9557A" w:rsidRPr="00F9557A" w:rsidRDefault="00F9557A" w:rsidP="00F9557A">
      <w:pPr>
        <w:shd w:val="clear" w:color="auto" w:fill="FFFFFF"/>
        <w:spacing w:after="0" w:line="240" w:lineRule="auto"/>
        <w:rPr>
          <w:rFonts w:ascii="Times New Roman" w:eastAsia="Times New Roman" w:hAnsi="Times New Roman" w:cs="Times New Roman"/>
          <w:sz w:val="18"/>
          <w:szCs w:val="18"/>
        </w:rPr>
      </w:pPr>
      <w:r w:rsidRPr="00F9557A">
        <w:rPr>
          <w:rFonts w:ascii="Times New Roman" w:eastAsia="Times New Roman" w:hAnsi="Times New Roman" w:cs="Times New Roman"/>
          <w:sz w:val="18"/>
          <w:szCs w:val="18"/>
        </w:rPr>
        <w:t xml:space="preserve">The Director of the School Counseling Program initiated a </w:t>
      </w:r>
      <w:r w:rsidRPr="00F9557A">
        <w:rPr>
          <w:rFonts w:ascii="Times New Roman" w:eastAsia="Times New Roman" w:hAnsi="Times New Roman" w:cs="Times New Roman"/>
          <w:i/>
          <w:sz w:val="18"/>
          <w:szCs w:val="18"/>
        </w:rPr>
        <w:t>Study Group</w:t>
      </w:r>
      <w:r w:rsidRPr="00F9557A">
        <w:rPr>
          <w:rFonts w:ascii="Times New Roman" w:eastAsia="Times New Roman" w:hAnsi="Times New Roman" w:cs="Times New Roman"/>
          <w:sz w:val="18"/>
          <w:szCs w:val="18"/>
        </w:rPr>
        <w:t xml:space="preserve"> approach to staff professional development during the 2005-2006 school year. The entire faculty was divided into 8 study groups which met monthly throughout the year. Each group focused on making recommendations on how to serve at-risk students as we transition from a school with 800 students to 1200 students over the next few years. The issues identified by the faculty were then prioritized through a survey completed by all staff members. The school counseling program will be involved in helping to generate systemic solutions to these identified priorities.</w:t>
      </w:r>
    </w:p>
    <w:p w:rsidR="00975CF5" w:rsidRDefault="00975CF5"/>
    <w:sectPr w:rsidR="00975CF5" w:rsidSect="00F9557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7518D"/>
    <w:multiLevelType w:val="hybridMultilevel"/>
    <w:tmpl w:val="E59A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F03CCF"/>
    <w:multiLevelType w:val="hybridMultilevel"/>
    <w:tmpl w:val="23C4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7A"/>
    <w:rsid w:val="00245A8B"/>
    <w:rsid w:val="00975CF5"/>
    <w:rsid w:val="00F9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30"/>
    <o:shapelayout v:ext="edit">
      <o:idmap v:ext="edit" data="1"/>
    </o:shapelayout>
  </w:shapeDefaults>
  <w:decimalSymbol w:val="."/>
  <w:listSeparator w:val=","/>
  <w15:chartTrackingRefBased/>
  <w15:docId w15:val="{14C6532D-A23E-4358-83D7-8957A3F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5.emf"/><Relationship Id="rId5" Type="http://schemas.openxmlformats.org/officeDocument/2006/relationships/chart" Target="charts/chart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Freshmen Exploratory - Shop Choice 2005-2006</a:t>
            </a:r>
          </a:p>
        </c:rich>
      </c:tx>
      <c:layout>
        <c:manualLayout>
          <c:xMode val="edge"/>
          <c:yMode val="edge"/>
          <c:x val="0.17431192660550454"/>
          <c:y val="1.9157088122605366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3.6697247706422013E-2"/>
          <c:y val="0.44444444444444442"/>
          <c:w val="0.5344036697247706"/>
          <c:h val="0.35249042145593873"/>
        </c:manualLayout>
      </c:layout>
      <c:pie3DChart>
        <c:varyColors val="1"/>
        <c:ser>
          <c:idx val="0"/>
          <c:order val="0"/>
          <c:spPr>
            <a:solidFill>
              <a:srgbClr val="9999FF"/>
            </a:solidFill>
            <a:ln w="12700">
              <a:solidFill>
                <a:srgbClr val="000000"/>
              </a:solidFill>
              <a:prstDash val="solid"/>
            </a:ln>
          </c:spPr>
          <c:explosion val="41"/>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399">
                <a:noFill/>
              </a:ln>
            </c:spPr>
            <c:txPr>
              <a:bodyPr wrap="square" lIns="38100" tIns="19050" rIns="38100" bIns="19050" anchor="ctr">
                <a:spAutoFit/>
              </a:bodyPr>
              <a:lstStyle/>
              <a:p>
                <a:pPr>
                  <a:defRPr sz="925"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Exploratory!$B$5:$B$8</c:f>
              <c:strCache>
                <c:ptCount val="4"/>
                <c:pt idx="0">
                  <c:v>1st choice</c:v>
                </c:pt>
                <c:pt idx="1">
                  <c:v>2nd choice</c:v>
                </c:pt>
                <c:pt idx="2">
                  <c:v>3rd choice</c:v>
                </c:pt>
                <c:pt idx="3">
                  <c:v>Other</c:v>
                </c:pt>
              </c:strCache>
            </c:strRef>
          </c:cat>
          <c:val>
            <c:numRef>
              <c:f>Exploratory!$C$5:$C$8</c:f>
              <c:numCache>
                <c:formatCode>0.00%</c:formatCode>
                <c:ptCount val="4"/>
                <c:pt idx="0">
                  <c:v>0.8</c:v>
                </c:pt>
                <c:pt idx="1">
                  <c:v>0.14000000000000001</c:v>
                </c:pt>
                <c:pt idx="2">
                  <c:v>0.04</c:v>
                </c:pt>
                <c:pt idx="3">
                  <c:v>0.02</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169724770642202"/>
          <c:y val="0.3869731800766284"/>
          <c:w val="0.31422018348623848"/>
          <c:h val="0.26436781609195403"/>
        </c:manualLayout>
      </c:layout>
      <c:overlay val="0"/>
      <c:spPr>
        <a:solidFill>
          <a:srgbClr val="FFCC00"/>
        </a:solidFill>
        <a:ln w="25399">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CC00"/>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4" b="1" i="0" u="none" strike="noStrike" baseline="0">
                <a:solidFill>
                  <a:srgbClr val="000000"/>
                </a:solidFill>
                <a:latin typeface="Arial"/>
                <a:ea typeface="Arial"/>
                <a:cs typeface="Arial"/>
              </a:defRPr>
            </a:pPr>
            <a:r>
              <a:rPr lang="en-US"/>
              <a:t>Senior Placement - Class of 2005</a:t>
            </a:r>
          </a:p>
        </c:rich>
      </c:tx>
      <c:layout>
        <c:manualLayout>
          <c:xMode val="edge"/>
          <c:yMode val="edge"/>
          <c:x val="0.1214470284237726"/>
          <c:y val="1.9379844961240313E-2"/>
        </c:manualLayout>
      </c:layout>
      <c:overlay val="0"/>
      <c:spPr>
        <a:noFill/>
        <a:ln w="25385">
          <a:noFill/>
        </a:ln>
      </c:spPr>
    </c:title>
    <c:autoTitleDeleted val="0"/>
    <c:plotArea>
      <c:layout>
        <c:manualLayout>
          <c:layoutTarget val="inner"/>
          <c:xMode val="edge"/>
          <c:yMode val="edge"/>
          <c:x val="0.46770025839793278"/>
          <c:y val="0.29844961240310081"/>
          <c:w val="0.36175710594315241"/>
          <c:h val="0.54263565891472876"/>
        </c:manualLayout>
      </c:layout>
      <c:doughnutChart>
        <c:varyColors val="1"/>
        <c:ser>
          <c:idx val="0"/>
          <c:order val="0"/>
          <c:spPr>
            <a:solidFill>
              <a:srgbClr val="9999FF"/>
            </a:solidFill>
            <a:ln w="12692">
              <a:solidFill>
                <a:srgbClr val="000000"/>
              </a:solidFill>
              <a:prstDash val="solid"/>
            </a:ln>
          </c:spPr>
          <c:explosion val="6"/>
          <c:dPt>
            <c:idx val="0"/>
            <c:bubble3D val="0"/>
          </c:dPt>
          <c:dPt>
            <c:idx val="1"/>
            <c:bubble3D val="0"/>
            <c:spPr>
              <a:solidFill>
                <a:srgbClr val="993366"/>
              </a:solidFill>
              <a:ln w="12692">
                <a:solidFill>
                  <a:srgbClr val="000000"/>
                </a:solidFill>
                <a:prstDash val="solid"/>
              </a:ln>
            </c:spPr>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cat>
            <c:strRef>
              <c:f>'Senior Placement'!$B$3:$B$6</c:f>
              <c:strCache>
                <c:ptCount val="4"/>
                <c:pt idx="0">
                  <c:v>Education</c:v>
                </c:pt>
                <c:pt idx="1">
                  <c:v>Work</c:v>
                </c:pt>
                <c:pt idx="2">
                  <c:v>Military</c:v>
                </c:pt>
                <c:pt idx="3">
                  <c:v>Other</c:v>
                </c:pt>
              </c:strCache>
            </c:strRef>
          </c:cat>
          <c:val>
            <c:numRef>
              <c:f>'Senior Placement'!$C$3:$C$6</c:f>
              <c:numCache>
                <c:formatCode>0%</c:formatCode>
                <c:ptCount val="4"/>
                <c:pt idx="0">
                  <c:v>0.45</c:v>
                </c:pt>
                <c:pt idx="1">
                  <c:v>0.49</c:v>
                </c:pt>
                <c:pt idx="2">
                  <c:v>0.03</c:v>
                </c:pt>
                <c:pt idx="3">
                  <c:v>0.03</c:v>
                </c:pt>
              </c:numCache>
            </c:numRef>
          </c:val>
        </c:ser>
        <c:dLbls>
          <c:showLegendKey val="0"/>
          <c:showVal val="0"/>
          <c:showCatName val="0"/>
          <c:showSerName val="0"/>
          <c:showPercent val="0"/>
          <c:showBubbleSize val="0"/>
          <c:showLeaderLines val="1"/>
        </c:dLbls>
        <c:firstSliceAng val="0"/>
        <c:holeSize val="50"/>
      </c:doughnutChart>
      <c:spPr>
        <a:noFill/>
        <a:ln w="25385">
          <a:noFill/>
        </a:ln>
      </c:spPr>
    </c:plotArea>
    <c:legend>
      <c:legendPos val="l"/>
      <c:layout>
        <c:manualLayout>
          <c:xMode val="edge"/>
          <c:yMode val="edge"/>
          <c:x val="4.6511627906976737E-2"/>
          <c:y val="0.29844961240310081"/>
          <c:w val="0.33074935400516792"/>
          <c:h val="0.43023255813953498"/>
        </c:manualLayout>
      </c:layout>
      <c:overlay val="0"/>
      <c:spPr>
        <a:solidFill>
          <a:srgbClr val="FFCC00"/>
        </a:solidFill>
        <a:ln w="3173">
          <a:solidFill>
            <a:srgbClr val="000000"/>
          </a:solidFill>
          <a:prstDash val="solid"/>
        </a:ln>
      </c:spPr>
      <c:txPr>
        <a:bodyPr/>
        <a:lstStyle/>
        <a:p>
          <a:pPr>
            <a:defRPr sz="984"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CC00"/>
    </a:solidFill>
    <a:ln w="3173">
      <a:solidFill>
        <a:srgbClr val="000000"/>
      </a:solidFill>
      <a:prstDash val="solid"/>
    </a:ln>
  </c:spPr>
  <c:txPr>
    <a:bodyPr/>
    <a:lstStyle/>
    <a:p>
      <a:pPr>
        <a:defRPr sz="974"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0.74825</cdr:x>
      <cdr:y>0.49</cdr:y>
    </cdr:from>
    <cdr:to>
      <cdr:x>0.99625</cdr:x>
      <cdr:y>0.587</cdr:y>
    </cdr:to>
    <cdr:sp macro="" textlink="">
      <cdr:nvSpPr>
        <cdr:cNvPr id="7169" name="Text Box 1"/>
        <cdr:cNvSpPr txBox="1">
          <a:spLocks xmlns:a="http://schemas.openxmlformats.org/drawingml/2006/main" noChangeArrowheads="1"/>
        </cdr:cNvSpPr>
      </cdr:nvSpPr>
      <cdr:spPr bwMode="auto">
        <a:xfrm xmlns:a="http://schemas.openxmlformats.org/drawingml/2006/main">
          <a:off x="2206544" y="963320"/>
          <a:ext cx="731337" cy="19069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CC99FF" mc:Ignorable="a14" a14:legacySpreadsheetColorIndex="46"/>
        </a:solidFill>
        <a:ln xmlns:a="http://schemas.openxmlformats.org/drawingml/2006/main" w="12700">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075" b="1" i="0" u="none" strike="noStrike" baseline="0">
              <a:solidFill>
                <a:srgbClr val="000000"/>
              </a:solidFill>
              <a:latin typeface="Arial"/>
              <a:cs typeface="Arial"/>
            </a:rPr>
            <a:t>Education</a:t>
          </a:r>
        </a:p>
      </cdr:txBody>
    </cdr:sp>
  </cdr:relSizeAnchor>
  <cdr:relSizeAnchor xmlns:cdr="http://schemas.openxmlformats.org/drawingml/2006/chartDrawing">
    <cdr:from>
      <cdr:x>0.41425</cdr:x>
      <cdr:y>0.707</cdr:y>
    </cdr:from>
    <cdr:to>
      <cdr:x>0.59525</cdr:x>
      <cdr:y>0.84275</cdr:y>
    </cdr:to>
    <cdr:sp macro="" textlink="">
      <cdr:nvSpPr>
        <cdr:cNvPr id="7170" name="Text Box 2"/>
        <cdr:cNvSpPr txBox="1">
          <a:spLocks xmlns:a="http://schemas.openxmlformats.org/drawingml/2006/main" noChangeArrowheads="1"/>
        </cdr:cNvSpPr>
      </cdr:nvSpPr>
      <cdr:spPr bwMode="auto">
        <a:xfrm xmlns:a="http://schemas.openxmlformats.org/drawingml/2006/main">
          <a:off x="1221598" y="1389934"/>
          <a:ext cx="533759" cy="26687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CC99FF" mc:Ignorable="a14" a14:legacySpreadsheetColorIndex="46"/>
        </a:solidFill>
        <a:ln xmlns:a="http://schemas.openxmlformats.org/drawingml/2006/main" w="12700">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36576" tIns="27432" rIns="36576" bIns="0" anchor="t" upright="1"/>
        <a:lstStyle xmlns:a="http://schemas.openxmlformats.org/drawingml/2006/main"/>
        <a:p xmlns:a="http://schemas.openxmlformats.org/drawingml/2006/main">
          <a:pPr algn="ctr" rtl="0">
            <a:defRPr sz="1000"/>
          </a:pPr>
          <a:r>
            <a:rPr lang="en-US" sz="1075" b="1" i="0" u="none" strike="noStrike" baseline="0">
              <a:solidFill>
                <a:srgbClr val="000000"/>
              </a:solidFill>
              <a:latin typeface="Arial"/>
              <a:cs typeface="Arial"/>
            </a:rPr>
            <a:t>Work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Paoletti</dc:creator>
  <cp:keywords/>
  <dc:description/>
  <cp:lastModifiedBy>Maria Paoletti</cp:lastModifiedBy>
  <cp:revision>2</cp:revision>
  <dcterms:created xsi:type="dcterms:W3CDTF">2016-01-30T19:23:00Z</dcterms:created>
  <dcterms:modified xsi:type="dcterms:W3CDTF">2016-01-30T19:23:00Z</dcterms:modified>
</cp:coreProperties>
</file>